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38696E">
              <w:rPr>
                <w:rFonts w:ascii="Calibri" w:eastAsia="Symbol" w:hAnsi="Calibri" w:cs="Times New Roman"/>
                <w:b/>
                <w:color w:val="2F5496" w:themeColor="accent5" w:themeShade="BF"/>
                <w:sz w:val="28"/>
                <w:szCs w:val="28"/>
              </w:rPr>
              <w:t>Rosslyn Park Primary and Nursery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38696E">
              <w:rPr>
                <w:rFonts w:ascii="Calibri" w:eastAsia="Symbol" w:hAnsi="Calibri" w:cs="Times New Roman"/>
                <w:b/>
                <w:color w:val="2F5496" w:themeColor="accent5" w:themeShade="BF"/>
                <w:sz w:val="28"/>
                <w:szCs w:val="28"/>
              </w:rPr>
              <w:t>Behaviour Mentor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38696E" w:rsidRDefault="00157A22" w:rsidP="0038696E">
            <w:pPr>
              <w:spacing w:before="120" w:after="120" w:line="240" w:lineRule="auto"/>
              <w:rPr>
                <w:rFonts w:ascii="Calibri" w:eastAsia="Symbol" w:hAnsi="Calibri" w:cs="Times New Roman"/>
                <w:b/>
                <w:color w:val="2F5496" w:themeColor="accent5" w:themeShade="BF"/>
                <w:sz w:val="28"/>
                <w:szCs w:val="28"/>
              </w:rPr>
            </w:pPr>
            <w:r w:rsidRPr="0038696E">
              <w:rPr>
                <w:rFonts w:ascii="Calibri" w:eastAsia="Symbol" w:hAnsi="Calibri" w:cs="Times New Roman"/>
                <w:b/>
                <w:color w:val="2F5496" w:themeColor="accent5" w:themeShade="BF"/>
                <w:sz w:val="28"/>
                <w:szCs w:val="28"/>
              </w:rPr>
              <w:t xml:space="preserve">Grade/Pay Range:  </w:t>
            </w:r>
            <w:r w:rsidR="0038696E" w:rsidRPr="0038696E">
              <w:rPr>
                <w:rFonts w:ascii="Calibri" w:eastAsia="Symbol" w:hAnsi="Calibri" w:cs="Times New Roman"/>
                <w:b/>
                <w:color w:val="2F5496" w:themeColor="accent5" w:themeShade="BF"/>
                <w:sz w:val="28"/>
                <w:szCs w:val="28"/>
              </w:rPr>
              <w:t>Grade E point 12-19</w:t>
            </w:r>
            <w:r w:rsidRPr="0038696E">
              <w:rPr>
                <w:rFonts w:ascii="Calibri" w:eastAsia="Symbol" w:hAnsi="Calibri" w:cs="Times New Roman"/>
                <w:b/>
                <w:color w:val="2F5496" w:themeColor="accent5" w:themeShade="BF"/>
                <w:sz w:val="28"/>
                <w:szCs w:val="28"/>
              </w:rPr>
              <w:t xml:space="preserv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38696E" w:rsidRDefault="00157A22" w:rsidP="0038696E">
            <w:pPr>
              <w:spacing w:before="120" w:after="120" w:line="240" w:lineRule="auto"/>
              <w:rPr>
                <w:rFonts w:ascii="Calibri" w:eastAsia="Symbol" w:hAnsi="Calibri" w:cs="Times New Roman"/>
                <w:b/>
                <w:color w:val="2F5496" w:themeColor="accent5" w:themeShade="BF"/>
                <w:sz w:val="28"/>
                <w:szCs w:val="28"/>
              </w:rPr>
            </w:pPr>
            <w:r w:rsidRPr="0038696E">
              <w:rPr>
                <w:rFonts w:ascii="Calibri" w:eastAsia="Symbol" w:hAnsi="Calibri" w:cs="Times New Roman"/>
                <w:b/>
                <w:color w:val="2F5496" w:themeColor="accent5" w:themeShade="BF"/>
                <w:sz w:val="28"/>
                <w:szCs w:val="28"/>
              </w:rPr>
              <w:t xml:space="preserve">Hours/weeks:  </w:t>
            </w:r>
            <w:r w:rsidR="0038696E" w:rsidRPr="0038696E">
              <w:rPr>
                <w:rFonts w:ascii="Calibri" w:eastAsia="Symbol" w:hAnsi="Calibri" w:cs="Times New Roman"/>
                <w:b/>
                <w:color w:val="2F5496" w:themeColor="accent5" w:themeShade="BF"/>
                <w:sz w:val="28"/>
                <w:szCs w:val="28"/>
              </w:rPr>
              <w:t>37 hours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38696E">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38696E">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38696E" w:rsidP="0038696E">
      <w:pPr>
        <w:ind w:left="-851"/>
      </w:pPr>
      <w:r w:rsidRPr="0038696E">
        <w:t>To address the needs of identified children and young people who require support in overcoming barriers to learning and developing their potential, both inside and outside the classroom, effecting positive behavioural change through intervention.</w:t>
      </w:r>
    </w:p>
    <w:p w:rsidR="003D153F" w:rsidRDefault="005D32E3" w:rsidP="003D153F">
      <w:pPr>
        <w:ind w:left="-851"/>
      </w:pPr>
      <w:r w:rsidRPr="0060753E">
        <w:rPr>
          <w:b/>
          <w:color w:val="2F5496" w:themeColor="accent5" w:themeShade="BF"/>
          <w:sz w:val="28"/>
          <w:szCs w:val="28"/>
        </w:rPr>
        <w:t xml:space="preserve">Main Duties and Responsibilities </w:t>
      </w:r>
    </w:p>
    <w:p w:rsidR="0038696E" w:rsidRDefault="005D32E3" w:rsidP="0038696E">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38696E" w:rsidRPr="0038696E" w:rsidRDefault="0038696E" w:rsidP="0038696E">
      <w:pPr>
        <w:ind w:left="-851"/>
        <w:rPr>
          <w:b/>
          <w:color w:val="2F5496" w:themeColor="accent5" w:themeShade="BF"/>
        </w:rPr>
      </w:pPr>
      <w:r w:rsidRPr="0038696E">
        <w:rPr>
          <w:b/>
          <w:color w:val="2F5496" w:themeColor="accent5" w:themeShade="BF"/>
        </w:rPr>
        <w:t>To improve the behaviour and well-being of individual childr</w:t>
      </w:r>
      <w:r>
        <w:rPr>
          <w:b/>
          <w:color w:val="2F5496" w:themeColor="accent5" w:themeShade="BF"/>
        </w:rPr>
        <w:t>en, where this is an issue, by:</w:t>
      </w:r>
    </w:p>
    <w:p w:rsidR="0038696E" w:rsidRDefault="0038696E" w:rsidP="0038696E">
      <w:pPr>
        <w:pStyle w:val="NoSpacing"/>
        <w:numPr>
          <w:ilvl w:val="0"/>
          <w:numId w:val="4"/>
        </w:numPr>
      </w:pPr>
      <w:r>
        <w:t>Developing and using strategies, including restrictive physical intervention, to manage and support pupils with SEBD</w:t>
      </w:r>
    </w:p>
    <w:p w:rsidR="0038696E" w:rsidRDefault="0038696E" w:rsidP="0038696E">
      <w:pPr>
        <w:pStyle w:val="NoSpacing"/>
        <w:numPr>
          <w:ilvl w:val="0"/>
          <w:numId w:val="4"/>
        </w:numPr>
      </w:pPr>
      <w:r>
        <w:t>working alongside teachers and support staff to promote the effective use of behaviour management strategies;</w:t>
      </w:r>
    </w:p>
    <w:p w:rsidR="0038696E" w:rsidRDefault="0038696E" w:rsidP="0038696E">
      <w:pPr>
        <w:pStyle w:val="NoSpacing"/>
        <w:ind w:left="-284" w:hanging="425"/>
      </w:pPr>
      <w:r>
        <w:t>•</w:t>
      </w:r>
      <w:r>
        <w:tab/>
        <w:t>working alongside parents in helping them to support the work of the school in improving individual children's behaviour and ensuring that there are effective lines of communication operating between school and home;</w:t>
      </w:r>
    </w:p>
    <w:p w:rsidR="0038696E" w:rsidRDefault="0038696E" w:rsidP="0038696E">
      <w:pPr>
        <w:pStyle w:val="NoSpacing"/>
        <w:ind w:left="-284" w:hanging="425"/>
      </w:pPr>
      <w:r>
        <w:t>•</w:t>
      </w:r>
      <w:r>
        <w:tab/>
        <w:t>working directly with individuals or groups to raise self-esteem and confidence of pupils with a view to improving their personal and social skills;</w:t>
      </w:r>
    </w:p>
    <w:p w:rsidR="0038696E" w:rsidRDefault="0038696E" w:rsidP="0038696E">
      <w:pPr>
        <w:pStyle w:val="NoSpacing"/>
        <w:ind w:left="-284" w:hanging="425"/>
      </w:pPr>
      <w:r>
        <w:t>•</w:t>
      </w:r>
      <w:r>
        <w:tab/>
        <w:t>monitoring progress in improving behaviour and maintaining improvements once made</w:t>
      </w:r>
    </w:p>
    <w:p w:rsidR="0038696E" w:rsidRDefault="0038696E" w:rsidP="0038696E">
      <w:pPr>
        <w:pStyle w:val="NoSpacing"/>
        <w:ind w:left="-284" w:hanging="425"/>
      </w:pPr>
      <w:r>
        <w:t>•</w:t>
      </w:r>
      <w:r>
        <w:tab/>
        <w:t>running break time intervention to support identified children, including lunchtimes and liai</w:t>
      </w:r>
      <w:r>
        <w:t xml:space="preserve">sing with Mid-day Supervisors. </w:t>
      </w:r>
    </w:p>
    <w:p w:rsidR="0038696E" w:rsidRDefault="0038696E" w:rsidP="0038696E">
      <w:pPr>
        <w:ind w:left="-851"/>
      </w:pPr>
    </w:p>
    <w:p w:rsidR="0038696E" w:rsidRDefault="0038696E" w:rsidP="0038696E">
      <w:pPr>
        <w:ind w:left="-851"/>
      </w:pPr>
      <w:r>
        <w:t xml:space="preserve">  </w:t>
      </w:r>
      <w:r w:rsidRPr="0038696E">
        <w:rPr>
          <w:b/>
          <w:color w:val="2F5496" w:themeColor="accent5" w:themeShade="BF"/>
        </w:rPr>
        <w:t>To improve the process of transition within and beyond the school by</w:t>
      </w:r>
      <w:r>
        <w:t>:</w:t>
      </w:r>
    </w:p>
    <w:p w:rsidR="0038696E" w:rsidRDefault="0038696E" w:rsidP="0038696E">
      <w:pPr>
        <w:ind w:left="-851"/>
      </w:pPr>
    </w:p>
    <w:p w:rsidR="0038696E" w:rsidRDefault="0038696E" w:rsidP="0038696E">
      <w:pPr>
        <w:pStyle w:val="NoSpacing"/>
        <w:ind w:left="-142" w:hanging="567"/>
      </w:pPr>
      <w:r>
        <w:t>•</w:t>
      </w:r>
      <w:r>
        <w:tab/>
        <w:t>Identifying those children where smooth transition would be improved by direct support to the child and/or the family;</w:t>
      </w:r>
    </w:p>
    <w:p w:rsidR="0038696E" w:rsidRDefault="0038696E" w:rsidP="0038696E">
      <w:pPr>
        <w:pStyle w:val="NoSpacing"/>
        <w:ind w:left="-142" w:hanging="567"/>
      </w:pPr>
      <w:r>
        <w:t>•</w:t>
      </w:r>
      <w:r>
        <w:tab/>
        <w:t>liaising with secondary learning mentors;</w:t>
      </w:r>
    </w:p>
    <w:p w:rsidR="0038696E" w:rsidRDefault="0038696E" w:rsidP="0038696E">
      <w:pPr>
        <w:pStyle w:val="NoSpacing"/>
        <w:ind w:left="-142" w:hanging="567"/>
      </w:pPr>
      <w:r>
        <w:t>•</w:t>
      </w:r>
      <w:r>
        <w:tab/>
        <w:t>monitoring support strategies that are put in place;</w:t>
      </w:r>
    </w:p>
    <w:p w:rsidR="0038696E" w:rsidRDefault="0038696E" w:rsidP="0038696E">
      <w:pPr>
        <w:pStyle w:val="NoSpacing"/>
        <w:ind w:left="-142" w:hanging="567"/>
      </w:pPr>
      <w:r>
        <w:t>•</w:t>
      </w:r>
      <w:r>
        <w:tab/>
        <w:t>supporting class teachers in ensuring that appropriate support is in place and  working effectively in school</w:t>
      </w:r>
    </w:p>
    <w:p w:rsidR="0038696E" w:rsidRDefault="0038696E" w:rsidP="0038696E">
      <w:pPr>
        <w:pStyle w:val="NoSpacing"/>
        <w:ind w:left="-142" w:hanging="567"/>
      </w:pPr>
      <w:r>
        <w:t>•</w:t>
      </w:r>
      <w:r>
        <w:tab/>
        <w:t>liaising with all colleagues to support early intervention strategies for identified pupils.</w:t>
      </w:r>
    </w:p>
    <w:p w:rsidR="0038696E" w:rsidRDefault="0038696E" w:rsidP="0038696E">
      <w:pPr>
        <w:pStyle w:val="NoSpacing"/>
        <w:ind w:left="-142" w:hanging="567"/>
      </w:pPr>
    </w:p>
    <w:p w:rsidR="0038696E" w:rsidRPr="0038696E" w:rsidRDefault="0038696E" w:rsidP="0038696E">
      <w:pPr>
        <w:ind w:left="-851"/>
        <w:rPr>
          <w:b/>
          <w:color w:val="2F5496" w:themeColor="accent5" w:themeShade="BF"/>
        </w:rPr>
      </w:pPr>
      <w:r w:rsidRPr="0038696E">
        <w:rPr>
          <w:b/>
          <w:color w:val="2F5496" w:themeColor="accent5" w:themeShade="BF"/>
        </w:rPr>
        <w:t>To support learning at school and encourage li</w:t>
      </w:r>
      <w:r>
        <w:rPr>
          <w:b/>
          <w:color w:val="2F5496" w:themeColor="accent5" w:themeShade="BF"/>
        </w:rPr>
        <w:t>nks between home and school by:</w:t>
      </w:r>
    </w:p>
    <w:p w:rsidR="0038696E" w:rsidRDefault="0038696E" w:rsidP="0038696E">
      <w:pPr>
        <w:pStyle w:val="NoSpacing"/>
        <w:ind w:left="-142" w:hanging="567"/>
      </w:pPr>
      <w:r>
        <w:t>•</w:t>
      </w:r>
      <w:r>
        <w:tab/>
        <w:t>Developing and implementing programmes of support for example, soft starts to the day, targeted breakfast club, mentoring on a 1:1 basis and supporting work with small groups of pupils across the age range, monitoring this provision and assessing its impact.</w:t>
      </w:r>
    </w:p>
    <w:p w:rsidR="0038696E" w:rsidRDefault="0038696E" w:rsidP="0038696E">
      <w:pPr>
        <w:pStyle w:val="NoSpacing"/>
        <w:ind w:left="-142" w:hanging="567"/>
      </w:pPr>
      <w:r>
        <w:t>•</w:t>
      </w:r>
      <w:r>
        <w:tab/>
        <w:t>maintaining contact with pupils who are given fixed term exclusions and support their reintegration</w:t>
      </w:r>
    </w:p>
    <w:p w:rsidR="0038696E" w:rsidRDefault="0038696E" w:rsidP="0038696E">
      <w:pPr>
        <w:ind w:left="-851"/>
      </w:pPr>
    </w:p>
    <w:p w:rsidR="0038696E" w:rsidRPr="0038696E" w:rsidRDefault="0038696E" w:rsidP="0038696E">
      <w:pPr>
        <w:ind w:left="-851"/>
        <w:rPr>
          <w:b/>
          <w:color w:val="2F5496" w:themeColor="accent5" w:themeShade="BF"/>
        </w:rPr>
      </w:pPr>
      <w:r w:rsidRPr="0038696E">
        <w:rPr>
          <w:b/>
          <w:color w:val="2F5496" w:themeColor="accent5" w:themeShade="BF"/>
        </w:rPr>
        <w:t>To support children who are experi</w:t>
      </w:r>
      <w:r>
        <w:rPr>
          <w:b/>
          <w:color w:val="2F5496" w:themeColor="accent5" w:themeShade="BF"/>
        </w:rPr>
        <w:t>encing barriers to learning by:</w:t>
      </w:r>
    </w:p>
    <w:p w:rsidR="0038696E" w:rsidRDefault="0038696E" w:rsidP="0038696E">
      <w:pPr>
        <w:pStyle w:val="NoSpacing"/>
        <w:ind w:left="-142" w:hanging="567"/>
      </w:pPr>
      <w:r>
        <w:t>•</w:t>
      </w:r>
      <w:r>
        <w:tab/>
        <w:t>attending and contributing to school-based conferences (ie Team around the School) as required;</w:t>
      </w:r>
    </w:p>
    <w:p w:rsidR="0038696E" w:rsidRDefault="0038696E" w:rsidP="0038696E">
      <w:pPr>
        <w:pStyle w:val="NoSpacing"/>
        <w:ind w:left="-142" w:hanging="567"/>
      </w:pPr>
      <w:r>
        <w:t>•</w:t>
      </w:r>
      <w:r>
        <w:tab/>
        <w:t>helping school and parents/carers to agree strategies that are mutually supportive of the child's improvement;</w:t>
      </w:r>
    </w:p>
    <w:p w:rsidR="0038696E" w:rsidRDefault="0038696E" w:rsidP="0038696E">
      <w:pPr>
        <w:pStyle w:val="NoSpacing"/>
        <w:ind w:left="-142" w:hanging="567"/>
      </w:pPr>
      <w:r>
        <w:t>•</w:t>
      </w:r>
      <w:r>
        <w:tab/>
        <w:t>assist in two-way communication between home and school to ensure positive family support and involvement</w:t>
      </w:r>
    </w:p>
    <w:p w:rsidR="0038696E" w:rsidRPr="0038696E" w:rsidRDefault="0038696E" w:rsidP="0038696E">
      <w:pPr>
        <w:pStyle w:val="NoSpacing"/>
        <w:ind w:left="-142" w:hanging="567"/>
      </w:pPr>
      <w:r>
        <w:t>•</w:t>
      </w:r>
      <w:r>
        <w:tab/>
        <w:t>working alongside the Health Mentor and Safeguarding colleagues to review and monitor need, support and progress</w:t>
      </w:r>
    </w:p>
    <w:p w:rsidR="0038696E" w:rsidRDefault="0038696E" w:rsidP="0038696E">
      <w:pPr>
        <w:rPr>
          <w:b/>
          <w:color w:val="2F5496" w:themeColor="accent5" w:themeShade="BF"/>
          <w:sz w:val="28"/>
          <w:szCs w:val="28"/>
        </w:rPr>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3D153F">
        <w:tc>
          <w:tcPr>
            <w:tcW w:w="3119" w:type="dxa"/>
            <w:tcMar>
              <w:top w:w="57" w:type="dxa"/>
              <w:bottom w:w="57" w:type="dxa"/>
            </w:tcMar>
          </w:tcPr>
          <w:p w:rsidR="00C2135F" w:rsidRPr="00294583" w:rsidRDefault="00C2135F" w:rsidP="00C2135F">
            <w:pPr>
              <w:spacing w:after="0" w:line="240" w:lineRule="auto"/>
              <w:rPr>
                <w:rFonts w:eastAsia="Times New Roman" w:cstheme="minorHAnsi"/>
                <w:b/>
                <w:color w:val="2F5496" w:themeColor="accent5" w:themeShade="BF"/>
                <w:sz w:val="32"/>
                <w:szCs w:val="32"/>
                <w:lang w:eastAsia="en-GB"/>
              </w:rPr>
            </w:pPr>
            <w:r w:rsidRPr="00294583">
              <w:rPr>
                <w:rFonts w:eastAsia="Times New Roman" w:cstheme="minorHAnsi"/>
                <w:b/>
                <w:color w:val="2F5496" w:themeColor="accent5" w:themeShade="BF"/>
                <w:sz w:val="32"/>
                <w:szCs w:val="32"/>
                <w:lang w:eastAsia="en-GB"/>
              </w:rPr>
              <w:t>Knowledge</w:t>
            </w:r>
          </w:p>
        </w:tc>
        <w:tc>
          <w:tcPr>
            <w:tcW w:w="6068" w:type="dxa"/>
            <w:tcMar>
              <w:top w:w="57" w:type="dxa"/>
              <w:bottom w:w="57" w:type="dxa"/>
            </w:tcMar>
          </w:tcPr>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Working with others, the ability to assess and review young people and family circumstances and plan appropriate responses.</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Knowledge of, and ability to work effectively and network with, a wide range of supporting services in both the public and private sectors</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 xml:space="preserve">Be up to </w:t>
            </w:r>
            <w:bookmarkStart w:id="0" w:name="_GoBack"/>
            <w:r w:rsidRPr="00E8089E">
              <w:rPr>
                <w:rFonts w:eastAsia="Times New Roman" w:cstheme="minorHAnsi"/>
                <w:sz w:val="24"/>
                <w:szCs w:val="24"/>
                <w:lang w:eastAsia="en-GB"/>
              </w:rPr>
              <w:t>d</w:t>
            </w:r>
            <w:bookmarkEnd w:id="0"/>
            <w:r w:rsidRPr="00E8089E">
              <w:rPr>
                <w:rFonts w:eastAsia="Times New Roman" w:cstheme="minorHAnsi"/>
                <w:sz w:val="24"/>
                <w:szCs w:val="24"/>
                <w:lang w:eastAsia="en-GB"/>
              </w:rPr>
              <w:t>ate wi</w:t>
            </w:r>
            <w:r w:rsidRPr="00E8089E">
              <w:rPr>
                <w:rFonts w:eastAsia="Times New Roman" w:cstheme="minorHAnsi"/>
                <w:sz w:val="24"/>
                <w:szCs w:val="24"/>
                <w:lang w:eastAsia="en-GB"/>
              </w:rPr>
              <w:t>th current practice in schools.</w:t>
            </w:r>
          </w:p>
          <w:p w:rsidR="00C2135F"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Knowledge of the social and emotional factors that affect a child’s capacity to learn</w:t>
            </w:r>
            <w:r w:rsidR="00C2135F" w:rsidRPr="00E8089E">
              <w:rPr>
                <w:rFonts w:ascii="Arial" w:eastAsia="Times New Roman" w:hAnsi="Arial" w:cs="Times New Roman"/>
                <w:sz w:val="24"/>
                <w:szCs w:val="24"/>
                <w:lang w:eastAsia="en-GB"/>
              </w:rPr>
              <w:t xml:space="preserve"> </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Pr="00E8089E" w:rsidRDefault="00E8089E" w:rsidP="00C2135F">
            <w:pPr>
              <w:spacing w:after="0" w:line="240" w:lineRule="auto"/>
              <w:jc w:val="center"/>
              <w:rPr>
                <w:rFonts w:eastAsia="Times New Roman" w:cstheme="minorHAnsi"/>
                <w:sz w:val="24"/>
                <w:szCs w:val="24"/>
                <w:lang w:eastAsia="en-GB"/>
              </w:rPr>
            </w:pPr>
            <w:r w:rsidRPr="00E8089E">
              <w:rPr>
                <w:rFonts w:eastAsia="Times New Roman" w:cstheme="minorHAnsi"/>
                <w:sz w:val="24"/>
                <w:szCs w:val="24"/>
                <w:lang w:eastAsia="en-GB"/>
              </w:rPr>
              <w:t>*</w:t>
            </w:r>
          </w:p>
          <w:p w:rsidR="00E8089E" w:rsidRP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r w:rsidRPr="00E8089E">
              <w:rPr>
                <w:rFonts w:eastAsia="Times New Roman" w:cstheme="minorHAnsi"/>
                <w:sz w:val="24"/>
                <w:szCs w:val="24"/>
                <w:lang w:eastAsia="en-GB"/>
              </w:rPr>
              <w:t>*</w:t>
            </w:r>
          </w:p>
          <w:p w:rsidR="00E8089E" w:rsidRP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r w:rsidRPr="00E8089E">
              <w:rPr>
                <w:rFonts w:eastAsia="Times New Roman" w:cstheme="minorHAnsi"/>
                <w:sz w:val="24"/>
                <w:szCs w:val="24"/>
                <w:lang w:eastAsia="en-GB"/>
              </w:rPr>
              <w:t>*</w:t>
            </w:r>
          </w:p>
          <w:p w:rsidR="00E8089E" w:rsidRP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r w:rsidRPr="00E8089E">
              <w:rPr>
                <w:rFonts w:eastAsia="Times New Roman" w:cstheme="minorHAnsi"/>
                <w:sz w:val="24"/>
                <w:szCs w:val="24"/>
                <w:lang w:eastAsia="en-GB"/>
              </w:rPr>
              <w:t>*</w:t>
            </w:r>
          </w:p>
          <w:p w:rsidR="00E8089E" w:rsidRPr="00E8089E" w:rsidRDefault="00E8089E" w:rsidP="00E8089E">
            <w:pPr>
              <w:spacing w:after="0" w:line="240" w:lineRule="auto"/>
              <w:rPr>
                <w:rFonts w:eastAsia="Times New Roman" w:cstheme="minorHAnsi"/>
                <w:sz w:val="24"/>
                <w:szCs w:val="24"/>
                <w:lang w:eastAsia="en-GB"/>
              </w:rPr>
            </w:pPr>
          </w:p>
        </w:tc>
        <w:tc>
          <w:tcPr>
            <w:tcW w:w="453" w:type="dxa"/>
            <w:shd w:val="clear" w:color="auto" w:fill="E6E6E6"/>
            <w:tcMar>
              <w:top w:w="57" w:type="dxa"/>
              <w:bottom w:w="57" w:type="dxa"/>
            </w:tcMar>
          </w:tcPr>
          <w:p w:rsidR="00C2135F" w:rsidRPr="00E8089E" w:rsidRDefault="00C2135F" w:rsidP="00C2135F">
            <w:pPr>
              <w:spacing w:after="0" w:line="240" w:lineRule="auto"/>
              <w:jc w:val="center"/>
              <w:rPr>
                <w:rFonts w:eastAsia="Times New Roman" w:cstheme="minorHAnsi"/>
                <w:sz w:val="24"/>
                <w:szCs w:val="24"/>
                <w:lang w:eastAsia="en-GB"/>
              </w:rPr>
            </w:pPr>
          </w:p>
        </w:tc>
        <w:tc>
          <w:tcPr>
            <w:tcW w:w="453" w:type="dxa"/>
            <w:shd w:val="clear" w:color="auto" w:fill="E6E6E6"/>
            <w:tcMar>
              <w:top w:w="57" w:type="dxa"/>
              <w:bottom w:w="57" w:type="dxa"/>
            </w:tcMar>
          </w:tcPr>
          <w:p w:rsidR="00C2135F" w:rsidRPr="00E8089E" w:rsidRDefault="00E8089E" w:rsidP="00C2135F">
            <w:pPr>
              <w:spacing w:after="0" w:line="240" w:lineRule="auto"/>
              <w:jc w:val="center"/>
              <w:rPr>
                <w:rFonts w:eastAsia="Times New Roman" w:cstheme="minorHAnsi"/>
                <w:sz w:val="24"/>
                <w:szCs w:val="24"/>
                <w:lang w:eastAsia="en-GB"/>
              </w:rPr>
            </w:pPr>
            <w:r w:rsidRPr="00E8089E">
              <w:rPr>
                <w:rFonts w:eastAsia="Times New Roman" w:cstheme="minorHAnsi"/>
                <w:sz w:val="24"/>
                <w:szCs w:val="24"/>
                <w:lang w:eastAsia="en-GB"/>
              </w:rPr>
              <w:t>*</w:t>
            </w:r>
          </w:p>
          <w:p w:rsidR="00E8089E" w:rsidRP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p>
          <w:p w:rsid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r w:rsidRPr="00E8089E">
              <w:rPr>
                <w:rFonts w:eastAsia="Times New Roman" w:cstheme="minorHAnsi"/>
                <w:sz w:val="24"/>
                <w:szCs w:val="24"/>
                <w:lang w:eastAsia="en-GB"/>
              </w:rPr>
              <w:t>*</w:t>
            </w:r>
          </w:p>
          <w:p w:rsidR="00E8089E" w:rsidRPr="00E8089E" w:rsidRDefault="00E8089E" w:rsidP="00C2135F">
            <w:pPr>
              <w:spacing w:after="0" w:line="240" w:lineRule="auto"/>
              <w:jc w:val="center"/>
              <w:rPr>
                <w:rFonts w:eastAsia="Times New Roman" w:cstheme="minorHAnsi"/>
                <w:sz w:val="24"/>
                <w:szCs w:val="24"/>
                <w:lang w:eastAsia="en-GB"/>
              </w:rPr>
            </w:pPr>
          </w:p>
          <w:p w:rsidR="00E8089E" w:rsidRPr="00E8089E" w:rsidRDefault="00E8089E" w:rsidP="00C2135F">
            <w:pPr>
              <w:spacing w:after="0" w:line="240" w:lineRule="auto"/>
              <w:jc w:val="center"/>
              <w:rPr>
                <w:rFonts w:eastAsia="Times New Roman" w:cstheme="minorHAnsi"/>
                <w:sz w:val="24"/>
                <w:szCs w:val="24"/>
                <w:lang w:eastAsia="en-GB"/>
              </w:rPr>
            </w:pPr>
            <w:r w:rsidRPr="00E8089E">
              <w:rPr>
                <w:rFonts w:eastAsia="Times New Roman" w:cstheme="minorHAnsi"/>
                <w:sz w:val="24"/>
                <w:szCs w:val="24"/>
                <w:lang w:eastAsia="en-GB"/>
              </w:rPr>
              <w:t>*</w:t>
            </w:r>
          </w:p>
          <w:p w:rsidR="00E8089E" w:rsidRPr="00E8089E" w:rsidRDefault="00E8089E" w:rsidP="00C2135F">
            <w:pPr>
              <w:spacing w:after="0" w:line="240" w:lineRule="auto"/>
              <w:jc w:val="center"/>
              <w:rPr>
                <w:rFonts w:eastAsia="Times New Roman" w:cstheme="minorHAnsi"/>
                <w:b/>
                <w:sz w:val="24"/>
                <w:szCs w:val="24"/>
                <w:lang w:eastAsia="en-GB"/>
              </w:rPr>
            </w:pPr>
          </w:p>
          <w:p w:rsidR="00E8089E" w:rsidRPr="00E8089E" w:rsidRDefault="00E8089E" w:rsidP="00E8089E">
            <w:pPr>
              <w:spacing w:after="0" w:line="240" w:lineRule="auto"/>
              <w:rPr>
                <w:rFonts w:eastAsia="Times New Roman" w:cstheme="minorHAnsi"/>
                <w:b/>
                <w:sz w:val="24"/>
                <w:szCs w:val="24"/>
                <w:lang w:eastAsia="en-GB"/>
              </w:rPr>
            </w:pP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294583" w:rsidRDefault="00C2135F" w:rsidP="00C2135F">
            <w:pPr>
              <w:rPr>
                <w:rFonts w:cstheme="minorHAnsi"/>
                <w:b/>
                <w:color w:val="2F5496" w:themeColor="accent5" w:themeShade="BF"/>
                <w:sz w:val="32"/>
                <w:szCs w:val="32"/>
              </w:rPr>
            </w:pPr>
            <w:r w:rsidRPr="00294583">
              <w:rPr>
                <w:rFonts w:cstheme="minorHAnsi"/>
                <w:b/>
                <w:color w:val="2F5496" w:themeColor="accent5" w:themeShade="BF"/>
                <w:sz w:val="32"/>
                <w:szCs w:val="32"/>
              </w:rPr>
              <w:t>Skills/Abilities</w:t>
            </w:r>
          </w:p>
        </w:tc>
        <w:tc>
          <w:tcPr>
            <w:tcW w:w="6068" w:type="dxa"/>
            <w:tcMar>
              <w:top w:w="57" w:type="dxa"/>
              <w:bottom w:w="57" w:type="dxa"/>
            </w:tcMar>
          </w:tcPr>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The ability to engage constructively with, and relate empathetically to, a wide range of young people and families/carers with different ethnic and social backgrounds.</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The ability to work effectively with, and command the confidence of, teaching staff and senior management within the school and own team.</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Competence in the skills of networking, facilitating and developing others.</w:t>
            </w:r>
          </w:p>
          <w:p w:rsidR="00C2135F"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Ability to communicate effectively – face to face, telephone or by email</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Ability to understand a child’s educational needs.</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Ability to identify potential barriers to learning and jointly plan and review strategies to overcome these barriers.</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Ability to see the mentoring role as an activity designed to achieve the goals in the learning action plan.</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Ability to engage in joint goal setting with the individual child</w:t>
            </w:r>
          </w:p>
          <w:p w:rsid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Ability to prioritise workloads, maintain an effective recording system and work to deadlines</w:t>
            </w:r>
          </w:p>
          <w:p w:rsid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Ability to see the mentoring role as a long-term activity designed to achieve the goals in the learning action plan</w:t>
            </w:r>
          </w:p>
          <w:p w:rsidR="00E8089E" w:rsidRDefault="00E8089E" w:rsidP="00E8089E">
            <w:pPr>
              <w:spacing w:after="0" w:line="240" w:lineRule="auto"/>
              <w:rPr>
                <w:rFonts w:eastAsia="Times New Roman" w:cstheme="minorHAnsi"/>
                <w:sz w:val="24"/>
                <w:szCs w:val="24"/>
                <w:lang w:eastAsia="en-GB"/>
              </w:rPr>
            </w:pPr>
          </w:p>
          <w:p w:rsidR="00E8089E" w:rsidRDefault="00E8089E" w:rsidP="00E8089E">
            <w:pPr>
              <w:spacing w:after="0" w:line="240" w:lineRule="auto"/>
              <w:rPr>
                <w:rFonts w:eastAsia="Times New Roman" w:cstheme="minorHAnsi"/>
                <w:sz w:val="24"/>
                <w:szCs w:val="24"/>
                <w:lang w:eastAsia="en-GB"/>
              </w:rPr>
            </w:pPr>
          </w:p>
          <w:p w:rsidR="00E8089E" w:rsidRPr="00C2135F" w:rsidRDefault="00E8089E" w:rsidP="00E8089E">
            <w:pPr>
              <w:spacing w:after="0" w:line="240" w:lineRule="auto"/>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E8089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Pr="00C2135F" w:rsidRDefault="00E8089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Default="00C2135F"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Default="00E8089E" w:rsidP="00C2135F">
            <w:pPr>
              <w:spacing w:after="0" w:line="240" w:lineRule="auto"/>
              <w:jc w:val="center"/>
              <w:rPr>
                <w:rFonts w:ascii="Arial" w:eastAsia="Times New Roman" w:hAnsi="Arial" w:cs="Arial"/>
                <w:sz w:val="24"/>
                <w:szCs w:val="24"/>
                <w:lang w:eastAsia="en-GB"/>
              </w:rPr>
            </w:pPr>
          </w:p>
          <w:p w:rsidR="00E8089E" w:rsidRPr="00C2135F" w:rsidRDefault="00E8089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Pr="00E8089E" w:rsidRDefault="00C2135F"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r w:rsidRPr="00E8089E">
              <w:rPr>
                <w:rFonts w:ascii="Arial" w:eastAsia="Times New Roman" w:hAnsi="Arial" w:cs="Times New Roman"/>
                <w:sz w:val="28"/>
                <w:szCs w:val="24"/>
                <w:lang w:eastAsia="en-GB"/>
              </w:rPr>
              <w:t>*</w:t>
            </w: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r w:rsidRPr="00E8089E">
              <w:rPr>
                <w:rFonts w:ascii="Arial" w:eastAsia="Times New Roman" w:hAnsi="Arial" w:cs="Times New Roman"/>
                <w:sz w:val="28"/>
                <w:szCs w:val="24"/>
                <w:lang w:eastAsia="en-GB"/>
              </w:rPr>
              <w:t>*</w:t>
            </w: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r w:rsidRPr="00E8089E">
              <w:rPr>
                <w:rFonts w:ascii="Arial" w:eastAsia="Times New Roman" w:hAnsi="Arial" w:cs="Times New Roman"/>
                <w:sz w:val="28"/>
                <w:szCs w:val="24"/>
                <w:lang w:eastAsia="en-GB"/>
              </w:rPr>
              <w:t>*</w:t>
            </w: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r w:rsidRPr="00E8089E">
              <w:rPr>
                <w:rFonts w:ascii="Arial" w:eastAsia="Times New Roman" w:hAnsi="Arial" w:cs="Times New Roman"/>
                <w:sz w:val="28"/>
                <w:szCs w:val="24"/>
                <w:lang w:eastAsia="en-GB"/>
              </w:rPr>
              <w:t>*</w:t>
            </w:r>
          </w:p>
          <w:p w:rsidR="00E8089E" w:rsidRPr="00E8089E" w:rsidRDefault="00E8089E" w:rsidP="00C2135F">
            <w:pPr>
              <w:spacing w:after="0" w:line="240" w:lineRule="auto"/>
              <w:jc w:val="center"/>
              <w:rPr>
                <w:rFonts w:ascii="Arial" w:eastAsia="Times New Roman" w:hAnsi="Arial" w:cs="Times New Roman"/>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r w:rsidRPr="00E8089E">
              <w:rPr>
                <w:rFonts w:ascii="Arial" w:eastAsia="Times New Roman" w:hAnsi="Arial" w:cs="Times New Roman"/>
                <w:sz w:val="28"/>
                <w:szCs w:val="24"/>
                <w:lang w:eastAsia="en-GB"/>
              </w:rPr>
              <w:t>*</w:t>
            </w:r>
          </w:p>
          <w:p w:rsidR="00E8089E" w:rsidRPr="00E8089E" w:rsidRDefault="00E8089E" w:rsidP="00C2135F">
            <w:pPr>
              <w:spacing w:after="0" w:line="240" w:lineRule="auto"/>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C2135F" w:rsidRPr="00E8089E"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294583" w:rsidRDefault="00E8089E" w:rsidP="00C2135F">
            <w:pPr>
              <w:rPr>
                <w:rFonts w:cstheme="minorHAnsi"/>
                <w:b/>
                <w:color w:val="2F5496" w:themeColor="accent5" w:themeShade="BF"/>
                <w:sz w:val="32"/>
                <w:szCs w:val="32"/>
              </w:rPr>
            </w:pPr>
            <w:r w:rsidRPr="00294583">
              <w:rPr>
                <w:rFonts w:cstheme="minorHAnsi"/>
                <w:b/>
                <w:color w:val="2F5496" w:themeColor="accent5" w:themeShade="BF"/>
                <w:sz w:val="32"/>
                <w:szCs w:val="32"/>
              </w:rPr>
              <w:t>Experience</w:t>
            </w:r>
          </w:p>
        </w:tc>
        <w:tc>
          <w:tcPr>
            <w:tcW w:w="6068" w:type="dxa"/>
            <w:tcMar>
              <w:top w:w="57" w:type="dxa"/>
              <w:bottom w:w="57" w:type="dxa"/>
            </w:tcMar>
          </w:tcPr>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Experience of working with CYP in school or other educational setting, counselling, youth work, careers, social service.</w:t>
            </w:r>
          </w:p>
          <w:p w:rsidR="00C2135F" w:rsidRPr="00C2135F" w:rsidRDefault="00E8089E" w:rsidP="00E8089E">
            <w:pPr>
              <w:spacing w:after="0" w:line="240" w:lineRule="auto"/>
              <w:rPr>
                <w:rFonts w:ascii="Arial" w:eastAsia="Times New Roman" w:hAnsi="Arial" w:cs="Times New Roman"/>
                <w:sz w:val="24"/>
                <w:szCs w:val="24"/>
                <w:lang w:eastAsia="en-GB"/>
              </w:rPr>
            </w:pPr>
            <w:r w:rsidRPr="00E8089E">
              <w:rPr>
                <w:rFonts w:eastAsia="Times New Roman" w:cstheme="minorHAnsi"/>
                <w:sz w:val="24"/>
                <w:szCs w:val="24"/>
                <w:lang w:eastAsia="en-GB"/>
              </w:rPr>
              <w:t>Experience of focusing on the needs of young people as individuals</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Pr="00C2135F" w:rsidRDefault="00E8089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Default="00C2135F" w:rsidP="00C2135F">
            <w:pPr>
              <w:spacing w:after="0" w:line="240" w:lineRule="auto"/>
              <w:jc w:val="center"/>
              <w:rPr>
                <w:rFonts w:ascii="Arial" w:eastAsia="Times New Roman" w:hAnsi="Arial" w:cs="Times New Roman"/>
                <w:b/>
                <w:sz w:val="28"/>
                <w:szCs w:val="24"/>
                <w:lang w:eastAsia="en-GB"/>
              </w:rPr>
            </w:pPr>
          </w:p>
          <w:p w:rsidR="00E8089E" w:rsidRDefault="00E8089E" w:rsidP="00C2135F">
            <w:pPr>
              <w:spacing w:after="0" w:line="240" w:lineRule="auto"/>
              <w:jc w:val="center"/>
              <w:rPr>
                <w:rFonts w:ascii="Arial" w:eastAsia="Times New Roman" w:hAnsi="Arial" w:cs="Times New Roman"/>
                <w:b/>
                <w:sz w:val="28"/>
                <w:szCs w:val="24"/>
                <w:lang w:eastAsia="en-GB"/>
              </w:rPr>
            </w:pPr>
          </w:p>
          <w:p w:rsidR="00E8089E" w:rsidRDefault="00E8089E" w:rsidP="00C2135F">
            <w:pPr>
              <w:spacing w:after="0" w:line="240" w:lineRule="auto"/>
              <w:jc w:val="center"/>
              <w:rPr>
                <w:rFonts w:ascii="Arial" w:eastAsia="Times New Roman" w:hAnsi="Arial" w:cs="Times New Roman"/>
                <w:b/>
                <w:sz w:val="28"/>
                <w:szCs w:val="24"/>
                <w:lang w:eastAsia="en-GB"/>
              </w:rPr>
            </w:pPr>
          </w:p>
          <w:p w:rsidR="00E8089E" w:rsidRPr="00E8089E" w:rsidRDefault="00E8089E" w:rsidP="00C2135F">
            <w:pPr>
              <w:spacing w:after="0" w:line="240" w:lineRule="auto"/>
              <w:jc w:val="center"/>
              <w:rPr>
                <w:rFonts w:ascii="Arial" w:eastAsia="Times New Roman" w:hAnsi="Arial" w:cs="Times New Roman"/>
                <w:sz w:val="28"/>
                <w:szCs w:val="24"/>
                <w:lang w:eastAsia="en-GB"/>
              </w:rPr>
            </w:pPr>
            <w:r w:rsidRPr="00E8089E">
              <w:rPr>
                <w:rFonts w:ascii="Arial" w:eastAsia="Times New Roman" w:hAnsi="Arial" w:cs="Times New Roman"/>
                <w:sz w:val="28"/>
                <w:szCs w:val="24"/>
                <w:lang w:eastAsia="en-GB"/>
              </w:rPr>
              <w:t>*</w:t>
            </w: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294583" w:rsidRDefault="00C2135F" w:rsidP="00C2135F">
            <w:pPr>
              <w:rPr>
                <w:rFonts w:cstheme="minorHAnsi"/>
                <w:b/>
                <w:color w:val="2F5496" w:themeColor="accent5" w:themeShade="BF"/>
                <w:sz w:val="32"/>
                <w:szCs w:val="32"/>
              </w:rPr>
            </w:pPr>
            <w:r w:rsidRPr="00294583">
              <w:rPr>
                <w:rFonts w:cstheme="minorHAnsi"/>
                <w:b/>
                <w:color w:val="2F5496" w:themeColor="accent5" w:themeShade="BF"/>
                <w:sz w:val="32"/>
                <w:szCs w:val="32"/>
              </w:rPr>
              <w:t>Other</w:t>
            </w:r>
          </w:p>
        </w:tc>
        <w:tc>
          <w:tcPr>
            <w:tcW w:w="6068" w:type="dxa"/>
            <w:tcMar>
              <w:top w:w="57" w:type="dxa"/>
              <w:bottom w:w="57" w:type="dxa"/>
            </w:tcMar>
          </w:tcPr>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Commitment to inclusive education.</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lastRenderedPageBreak/>
              <w:t>The desire to create a working culture which values creativity and openness and is sensitive to need.</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Motivated to maximise equal opportunities.</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Awareness, understanding and commitment to the pursuit of equality of opportunity, anti- racism and in terms of service delivery and employment practice.</w:t>
            </w:r>
          </w:p>
          <w:p w:rsid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Awareness of disa</w:t>
            </w:r>
            <w:r>
              <w:rPr>
                <w:rFonts w:eastAsia="Times New Roman" w:cstheme="minorHAnsi"/>
                <w:sz w:val="24"/>
                <w:szCs w:val="24"/>
                <w:lang w:eastAsia="en-GB"/>
              </w:rPr>
              <w:t>bility/discrimination procedure</w:t>
            </w:r>
          </w:p>
          <w:p w:rsid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 willingness and ability to le</w:t>
            </w:r>
            <w:r>
              <w:rPr>
                <w:rFonts w:eastAsia="Times New Roman" w:cstheme="minorHAnsi"/>
                <w:sz w:val="24"/>
                <w:szCs w:val="24"/>
                <w:lang w:eastAsia="en-GB"/>
              </w:rPr>
              <w:t>arn and see potential benefits.</w:t>
            </w:r>
          </w:p>
          <w:p w:rsidR="00E8089E" w:rsidRPr="00E8089E"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Learning Mentors will have access to training as identified in the team planning.</w:t>
            </w:r>
          </w:p>
          <w:p w:rsidR="00C2135F" w:rsidRDefault="00E8089E" w:rsidP="00E8089E">
            <w:pPr>
              <w:spacing w:after="0" w:line="240" w:lineRule="auto"/>
              <w:rPr>
                <w:rFonts w:eastAsia="Times New Roman" w:cstheme="minorHAnsi"/>
                <w:sz w:val="24"/>
                <w:szCs w:val="24"/>
                <w:lang w:eastAsia="en-GB"/>
              </w:rPr>
            </w:pPr>
            <w:r w:rsidRPr="00E8089E">
              <w:rPr>
                <w:rFonts w:eastAsia="Times New Roman" w:cstheme="minorHAnsi"/>
                <w:sz w:val="24"/>
                <w:szCs w:val="24"/>
                <w:lang w:eastAsia="en-GB"/>
              </w:rPr>
              <w:t>A full driving licence and access to a vehicle is required unless disability precludes this.</w:t>
            </w:r>
          </w:p>
          <w:p w:rsidR="00294583" w:rsidRPr="00E8089E" w:rsidRDefault="00294583" w:rsidP="00E8089E">
            <w:pPr>
              <w:spacing w:after="0" w:line="240" w:lineRule="auto"/>
              <w:rPr>
                <w:rFonts w:eastAsia="Times New Roman" w:cstheme="minorHAnsi"/>
                <w:sz w:val="24"/>
                <w:szCs w:val="24"/>
                <w:lang w:eastAsia="en-GB"/>
              </w:rPr>
            </w:pP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C2135F"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t>*</w:t>
            </w: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94583" w:rsidRDefault="00294583"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94583" w:rsidRPr="00C2135F" w:rsidRDefault="00294583" w:rsidP="00294583">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294583" w:rsidRDefault="00294583" w:rsidP="00294583">
            <w:pPr>
              <w:spacing w:after="0" w:line="240" w:lineRule="auto"/>
              <w:rPr>
                <w:rFonts w:ascii="Arial" w:eastAsia="Times New Roman" w:hAnsi="Arial" w:cs="Times New Roman"/>
                <w:sz w:val="28"/>
                <w:szCs w:val="24"/>
                <w:lang w:eastAsia="en-GB"/>
              </w:rPr>
            </w:pPr>
            <w:r>
              <w:rPr>
                <w:rFonts w:ascii="Arial" w:eastAsia="Times New Roman" w:hAnsi="Arial" w:cs="Times New Roman"/>
                <w:sz w:val="28"/>
                <w:szCs w:val="24"/>
                <w:lang w:eastAsia="en-GB"/>
              </w:rPr>
              <w:t>*</w:t>
            </w:r>
          </w:p>
          <w:p w:rsidR="00294583" w:rsidRDefault="00294583" w:rsidP="00294583">
            <w:pPr>
              <w:spacing w:after="0" w:line="240" w:lineRule="auto"/>
              <w:rPr>
                <w:rFonts w:ascii="Arial" w:eastAsia="Times New Roman" w:hAnsi="Arial" w:cs="Times New Roman"/>
                <w:sz w:val="28"/>
                <w:szCs w:val="24"/>
                <w:lang w:eastAsia="en-GB"/>
              </w:rPr>
            </w:pPr>
          </w:p>
          <w:p w:rsidR="00294583" w:rsidRDefault="00294583" w:rsidP="00294583">
            <w:pPr>
              <w:spacing w:after="0" w:line="240" w:lineRule="auto"/>
              <w:rPr>
                <w:rFonts w:ascii="Arial" w:eastAsia="Times New Roman" w:hAnsi="Arial" w:cs="Times New Roman"/>
                <w:sz w:val="28"/>
                <w:szCs w:val="24"/>
                <w:lang w:eastAsia="en-GB"/>
              </w:rPr>
            </w:pPr>
            <w:r>
              <w:rPr>
                <w:rFonts w:ascii="Arial" w:eastAsia="Times New Roman" w:hAnsi="Arial" w:cs="Times New Roman"/>
                <w:sz w:val="28"/>
                <w:szCs w:val="24"/>
                <w:lang w:eastAsia="en-GB"/>
              </w:rPr>
              <w:lastRenderedPageBreak/>
              <w:t>*</w:t>
            </w:r>
          </w:p>
          <w:p w:rsidR="00294583" w:rsidRDefault="00294583" w:rsidP="00294583">
            <w:pPr>
              <w:spacing w:after="0" w:line="240" w:lineRule="auto"/>
              <w:rPr>
                <w:rFonts w:ascii="Arial" w:eastAsia="Times New Roman" w:hAnsi="Arial" w:cs="Times New Roman"/>
                <w:sz w:val="28"/>
                <w:szCs w:val="24"/>
                <w:lang w:eastAsia="en-GB"/>
              </w:rPr>
            </w:pPr>
          </w:p>
          <w:p w:rsidR="00294583" w:rsidRDefault="00294583" w:rsidP="00294583">
            <w:pPr>
              <w:spacing w:after="0" w:line="240" w:lineRule="auto"/>
              <w:rPr>
                <w:rFonts w:ascii="Arial" w:eastAsia="Times New Roman" w:hAnsi="Arial" w:cs="Times New Roman"/>
                <w:sz w:val="28"/>
                <w:szCs w:val="24"/>
                <w:lang w:eastAsia="en-GB"/>
              </w:rPr>
            </w:pPr>
          </w:p>
          <w:p w:rsidR="00294583" w:rsidRDefault="00294583" w:rsidP="00294583">
            <w:pPr>
              <w:spacing w:after="0" w:line="240" w:lineRule="auto"/>
              <w:rPr>
                <w:rFonts w:ascii="Arial" w:eastAsia="Times New Roman" w:hAnsi="Arial" w:cs="Times New Roman"/>
                <w:sz w:val="28"/>
                <w:szCs w:val="24"/>
                <w:lang w:eastAsia="en-GB"/>
              </w:rPr>
            </w:pPr>
            <w:r>
              <w:rPr>
                <w:rFonts w:ascii="Arial" w:eastAsia="Times New Roman" w:hAnsi="Arial" w:cs="Times New Roman"/>
                <w:sz w:val="28"/>
                <w:szCs w:val="24"/>
                <w:lang w:eastAsia="en-GB"/>
              </w:rPr>
              <w:t>*</w:t>
            </w:r>
          </w:p>
          <w:p w:rsidR="00294583" w:rsidRDefault="00294583" w:rsidP="00294583">
            <w:pPr>
              <w:spacing w:after="0" w:line="240" w:lineRule="auto"/>
              <w:rPr>
                <w:rFonts w:ascii="Arial" w:eastAsia="Times New Roman" w:hAnsi="Arial" w:cs="Times New Roman"/>
                <w:sz w:val="28"/>
                <w:szCs w:val="24"/>
                <w:lang w:eastAsia="en-GB"/>
              </w:rPr>
            </w:pPr>
          </w:p>
          <w:p w:rsidR="00294583" w:rsidRDefault="00294583" w:rsidP="00294583">
            <w:pPr>
              <w:spacing w:after="0" w:line="240" w:lineRule="auto"/>
              <w:rPr>
                <w:rFonts w:ascii="Arial" w:eastAsia="Times New Roman" w:hAnsi="Arial" w:cs="Times New Roman"/>
                <w:sz w:val="28"/>
                <w:szCs w:val="24"/>
                <w:lang w:eastAsia="en-GB"/>
              </w:rPr>
            </w:pPr>
            <w:r>
              <w:rPr>
                <w:rFonts w:ascii="Arial" w:eastAsia="Times New Roman" w:hAnsi="Arial" w:cs="Times New Roman"/>
                <w:sz w:val="28"/>
                <w:szCs w:val="24"/>
                <w:lang w:eastAsia="en-GB"/>
              </w:rPr>
              <w:t>*</w:t>
            </w:r>
          </w:p>
          <w:p w:rsidR="00294583" w:rsidRDefault="00294583" w:rsidP="00294583">
            <w:pPr>
              <w:spacing w:after="0" w:line="240" w:lineRule="auto"/>
              <w:rPr>
                <w:rFonts w:ascii="Arial" w:eastAsia="Times New Roman" w:hAnsi="Arial" w:cs="Times New Roman"/>
                <w:sz w:val="28"/>
                <w:szCs w:val="24"/>
                <w:lang w:eastAsia="en-GB"/>
              </w:rPr>
            </w:pPr>
            <w:r>
              <w:rPr>
                <w:rFonts w:ascii="Arial" w:eastAsia="Times New Roman" w:hAnsi="Arial" w:cs="Times New Roman"/>
                <w:sz w:val="28"/>
                <w:szCs w:val="24"/>
                <w:lang w:eastAsia="en-GB"/>
              </w:rPr>
              <w:t>*</w:t>
            </w:r>
          </w:p>
          <w:p w:rsidR="00294583" w:rsidRDefault="00294583" w:rsidP="00294583">
            <w:pPr>
              <w:spacing w:after="0" w:line="240" w:lineRule="auto"/>
              <w:rPr>
                <w:rFonts w:ascii="Arial" w:eastAsia="Times New Roman" w:hAnsi="Arial" w:cs="Times New Roman"/>
                <w:sz w:val="28"/>
                <w:szCs w:val="24"/>
                <w:lang w:eastAsia="en-GB"/>
              </w:rPr>
            </w:pPr>
          </w:p>
          <w:p w:rsidR="00294583" w:rsidRDefault="00294583" w:rsidP="00294583">
            <w:pPr>
              <w:spacing w:after="0" w:line="240" w:lineRule="auto"/>
              <w:rPr>
                <w:rFonts w:ascii="Arial" w:eastAsia="Times New Roman" w:hAnsi="Arial" w:cs="Times New Roman"/>
                <w:sz w:val="28"/>
                <w:szCs w:val="24"/>
                <w:lang w:eastAsia="en-GB"/>
              </w:rPr>
            </w:pPr>
            <w:r>
              <w:rPr>
                <w:rFonts w:ascii="Arial" w:eastAsia="Times New Roman" w:hAnsi="Arial" w:cs="Times New Roman"/>
                <w:sz w:val="28"/>
                <w:szCs w:val="24"/>
                <w:lang w:eastAsia="en-GB"/>
              </w:rPr>
              <w:t>*</w:t>
            </w:r>
          </w:p>
          <w:p w:rsidR="00294583" w:rsidRPr="00294583" w:rsidRDefault="00294583" w:rsidP="00294583">
            <w:pPr>
              <w:spacing w:after="0" w:line="240" w:lineRule="auto"/>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C2135F" w:rsidRDefault="00C2135F"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Default="00294583" w:rsidP="00C2135F">
            <w:pPr>
              <w:spacing w:after="0" w:line="240" w:lineRule="auto"/>
              <w:jc w:val="center"/>
              <w:rPr>
                <w:rFonts w:ascii="Arial" w:eastAsia="Times New Roman" w:hAnsi="Arial" w:cs="Arial"/>
                <w:sz w:val="24"/>
                <w:szCs w:val="24"/>
                <w:lang w:eastAsia="en-GB"/>
              </w:rPr>
            </w:pPr>
          </w:p>
          <w:p w:rsidR="00294583" w:rsidRPr="00C2135F" w:rsidRDefault="00294583" w:rsidP="0029458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tc>
      </w:tr>
      <w:tr w:rsidR="00294583" w:rsidRPr="00C2135F" w:rsidTr="003D153F">
        <w:tc>
          <w:tcPr>
            <w:tcW w:w="3119" w:type="dxa"/>
            <w:tcMar>
              <w:top w:w="57" w:type="dxa"/>
              <w:bottom w:w="57" w:type="dxa"/>
            </w:tcMar>
          </w:tcPr>
          <w:p w:rsidR="00294583" w:rsidRPr="00294583" w:rsidRDefault="00294583" w:rsidP="00C2135F">
            <w:pPr>
              <w:rPr>
                <w:rFonts w:cstheme="minorHAnsi"/>
                <w:b/>
                <w:color w:val="2F5496" w:themeColor="accent5" w:themeShade="BF"/>
                <w:sz w:val="32"/>
                <w:szCs w:val="32"/>
              </w:rPr>
            </w:pPr>
            <w:r w:rsidRPr="00294583">
              <w:rPr>
                <w:rFonts w:cstheme="minorHAnsi"/>
                <w:b/>
                <w:color w:val="2F5496" w:themeColor="accent5" w:themeShade="BF"/>
                <w:sz w:val="32"/>
                <w:szCs w:val="32"/>
              </w:rPr>
              <w:lastRenderedPageBreak/>
              <w:t>Work Related Circumstances</w:t>
            </w:r>
          </w:p>
        </w:tc>
        <w:tc>
          <w:tcPr>
            <w:tcW w:w="6068" w:type="dxa"/>
            <w:tcMar>
              <w:top w:w="57" w:type="dxa"/>
              <w:bottom w:w="57" w:type="dxa"/>
            </w:tcMar>
          </w:tcPr>
          <w:p w:rsidR="00294583" w:rsidRPr="00294583" w:rsidRDefault="00294583" w:rsidP="00294583">
            <w:pPr>
              <w:spacing w:after="0" w:line="240" w:lineRule="auto"/>
              <w:rPr>
                <w:rFonts w:eastAsia="Times New Roman" w:cstheme="minorHAnsi"/>
                <w:sz w:val="24"/>
                <w:szCs w:val="24"/>
                <w:lang w:eastAsia="en-GB"/>
              </w:rPr>
            </w:pPr>
            <w:r w:rsidRPr="00294583">
              <w:rPr>
                <w:rFonts w:eastAsia="Times New Roman" w:cstheme="minorHAnsi"/>
                <w:sz w:val="24"/>
                <w:szCs w:val="24"/>
                <w:lang w:eastAsia="en-GB"/>
              </w:rPr>
              <w:t>Must be willing to undertake training as required</w:t>
            </w:r>
          </w:p>
          <w:p w:rsidR="00294583" w:rsidRPr="00294583" w:rsidRDefault="00294583" w:rsidP="00294583">
            <w:pPr>
              <w:spacing w:after="0" w:line="240" w:lineRule="auto"/>
              <w:rPr>
                <w:rFonts w:eastAsia="Times New Roman" w:cstheme="minorHAnsi"/>
                <w:sz w:val="24"/>
                <w:szCs w:val="24"/>
                <w:lang w:eastAsia="en-GB"/>
              </w:rPr>
            </w:pPr>
            <w:r w:rsidRPr="00294583">
              <w:rPr>
                <w:rFonts w:eastAsia="Times New Roman" w:cstheme="minorHAnsi"/>
                <w:sz w:val="24"/>
                <w:szCs w:val="24"/>
                <w:lang w:eastAsia="en-GB"/>
              </w:rPr>
              <w:t>Must ensure confidentiality in respect of pupils and information.</w:t>
            </w:r>
          </w:p>
          <w:p w:rsidR="00294583" w:rsidRPr="00294583" w:rsidRDefault="00294583" w:rsidP="00294583">
            <w:pPr>
              <w:spacing w:after="0" w:line="240" w:lineRule="auto"/>
              <w:rPr>
                <w:rFonts w:eastAsia="Times New Roman" w:cstheme="minorHAnsi"/>
                <w:sz w:val="24"/>
                <w:szCs w:val="24"/>
                <w:lang w:eastAsia="en-GB"/>
              </w:rPr>
            </w:pPr>
            <w:r w:rsidRPr="00294583">
              <w:rPr>
                <w:rFonts w:eastAsia="Times New Roman" w:cstheme="minorHAnsi"/>
                <w:sz w:val="24"/>
                <w:szCs w:val="24"/>
                <w:lang w:eastAsia="en-GB"/>
              </w:rPr>
              <w:t>Commitment to the highest standards of child pro-tection and safeguarding</w:t>
            </w:r>
          </w:p>
          <w:p w:rsidR="00294583" w:rsidRPr="00294583" w:rsidRDefault="00294583" w:rsidP="00294583">
            <w:pPr>
              <w:spacing w:after="0" w:line="240" w:lineRule="auto"/>
              <w:rPr>
                <w:rFonts w:eastAsia="Times New Roman" w:cstheme="minorHAnsi"/>
                <w:sz w:val="24"/>
                <w:szCs w:val="24"/>
                <w:lang w:eastAsia="en-GB"/>
              </w:rPr>
            </w:pPr>
            <w:r w:rsidRPr="00294583">
              <w:rPr>
                <w:rFonts w:eastAsia="Times New Roman" w:cstheme="minorHAnsi"/>
                <w:sz w:val="24"/>
                <w:szCs w:val="24"/>
                <w:lang w:eastAsia="en-GB"/>
              </w:rPr>
              <w:t>Recognition of the importance of personal respon-sibility for health and safety</w:t>
            </w:r>
          </w:p>
          <w:p w:rsidR="00294583" w:rsidRPr="00E8089E" w:rsidRDefault="00294583" w:rsidP="00294583">
            <w:pPr>
              <w:spacing w:after="0" w:line="240" w:lineRule="auto"/>
              <w:rPr>
                <w:rFonts w:eastAsia="Times New Roman" w:cstheme="minorHAnsi"/>
                <w:sz w:val="24"/>
                <w:szCs w:val="24"/>
                <w:lang w:eastAsia="en-GB"/>
              </w:rPr>
            </w:pPr>
            <w:r w:rsidRPr="00294583">
              <w:rPr>
                <w:rFonts w:eastAsia="Times New Roman" w:cstheme="minorHAnsi"/>
                <w:sz w:val="24"/>
                <w:szCs w:val="24"/>
                <w:lang w:eastAsia="en-GB"/>
              </w:rPr>
              <w:t>Commitment to the Trust’s ethos, aims and whole community.</w:t>
            </w:r>
          </w:p>
        </w:tc>
        <w:tc>
          <w:tcPr>
            <w:tcW w:w="453" w:type="dxa"/>
            <w:shd w:val="clear" w:color="auto" w:fill="E6E6E6"/>
            <w:tcMar>
              <w:top w:w="57" w:type="dxa"/>
              <w:bottom w:w="57" w:type="dxa"/>
            </w:tcMar>
          </w:tcPr>
          <w:p w:rsidR="00294583" w:rsidRPr="00C2135F" w:rsidRDefault="00294583"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294583" w:rsidRDefault="00294583"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294583" w:rsidRPr="00C2135F" w:rsidRDefault="00294583"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294583" w:rsidRDefault="00294583" w:rsidP="00294583">
            <w:pPr>
              <w:spacing w:after="0" w:line="240" w:lineRule="auto"/>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294583" w:rsidRDefault="00294583" w:rsidP="00C2135F">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577F69E2"/>
    <w:multiLevelType w:val="hybridMultilevel"/>
    <w:tmpl w:val="B63EEC30"/>
    <w:lvl w:ilvl="0" w:tplc="A5320D42">
      <w:numFmt w:val="bullet"/>
      <w:lvlText w:val="•"/>
      <w:lvlJc w:val="left"/>
      <w:pPr>
        <w:ind w:left="-349"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07C4E"/>
    <w:multiLevelType w:val="hybridMultilevel"/>
    <w:tmpl w:val="3786A26A"/>
    <w:lvl w:ilvl="0" w:tplc="A5320D42">
      <w:numFmt w:val="bullet"/>
      <w:lvlText w:val="•"/>
      <w:lvlJc w:val="left"/>
      <w:pPr>
        <w:ind w:left="-349"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E535F"/>
    <w:multiLevelType w:val="hybridMultilevel"/>
    <w:tmpl w:val="3B544FEC"/>
    <w:lvl w:ilvl="0" w:tplc="A5320D42">
      <w:numFmt w:val="bullet"/>
      <w:lvlText w:val="•"/>
      <w:lvlJc w:val="left"/>
      <w:pPr>
        <w:ind w:left="-349" w:hanging="360"/>
      </w:pPr>
      <w:rPr>
        <w:rFonts w:ascii="Calibri" w:eastAsiaTheme="minorEastAsia"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15:restartNumberingAfterBreak="0">
    <w:nsid w:val="76514774"/>
    <w:multiLevelType w:val="hybridMultilevel"/>
    <w:tmpl w:val="C222092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91736"/>
    <w:rsid w:val="00157A22"/>
    <w:rsid w:val="00294583"/>
    <w:rsid w:val="0038696E"/>
    <w:rsid w:val="003D153F"/>
    <w:rsid w:val="003D5A94"/>
    <w:rsid w:val="005D32E3"/>
    <w:rsid w:val="0060753E"/>
    <w:rsid w:val="00934E74"/>
    <w:rsid w:val="0098030F"/>
    <w:rsid w:val="00980914"/>
    <w:rsid w:val="00A5409C"/>
    <w:rsid w:val="00C2135F"/>
    <w:rsid w:val="00D36BD6"/>
    <w:rsid w:val="00D906A6"/>
    <w:rsid w:val="00DA441C"/>
    <w:rsid w:val="00E8089E"/>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1FD1"/>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2019-10-02T12:26:00Z</dcterms:created>
  <dcterms:modified xsi:type="dcterms:W3CDTF">2019-10-09T13:04:00Z</dcterms:modified>
</cp:coreProperties>
</file>