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A57AD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A57AD2">
              <w:rPr>
                <w:rFonts w:ascii="Calibri" w:eastAsia="Symbol" w:hAnsi="Calibri" w:cs="Times New Roman"/>
                <w:b/>
                <w:color w:val="2F5496" w:themeColor="accent5" w:themeShade="BF"/>
                <w:sz w:val="28"/>
                <w:szCs w:val="28"/>
              </w:rPr>
              <w:t>Rosslyn Park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F637CC">
              <w:rPr>
                <w:rFonts w:ascii="Calibri" w:eastAsia="Symbol" w:hAnsi="Calibri" w:cs="Times New Roman"/>
                <w:b/>
                <w:color w:val="2F5496" w:themeColor="accent5" w:themeShade="BF"/>
                <w:sz w:val="28"/>
                <w:szCs w:val="28"/>
              </w:rPr>
              <w:t>Midday Supervisor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A57AD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F637CC" w:rsidRPr="00F637CC">
              <w:rPr>
                <w:rFonts w:ascii="Calibri" w:eastAsia="Symbol" w:hAnsi="Calibri" w:cs="Times New Roman"/>
                <w:b/>
                <w:color w:val="2F5496" w:themeColor="accent5" w:themeShade="BF"/>
                <w:sz w:val="28"/>
                <w:szCs w:val="28"/>
              </w:rPr>
              <w:t>Grade A Point 1</w:t>
            </w:r>
            <w:r w:rsidR="00A57AD2">
              <w:rPr>
                <w:rFonts w:ascii="Calibri" w:eastAsia="Symbol" w:hAnsi="Calibri" w:cs="Times New Roman"/>
                <w:b/>
                <w:color w:val="2F5496" w:themeColor="accent5" w:themeShade="BF"/>
                <w:sz w:val="28"/>
                <w:szCs w:val="28"/>
              </w:rPr>
              <w:t>A</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A57AD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A57AD2">
              <w:rPr>
                <w:rFonts w:ascii="Calibri" w:eastAsia="Symbol" w:hAnsi="Calibri" w:cs="Times New Roman"/>
                <w:b/>
                <w:color w:val="2F5496" w:themeColor="accent5" w:themeShade="BF"/>
                <w:sz w:val="28"/>
                <w:szCs w:val="28"/>
              </w:rPr>
              <w:t>8.75</w:t>
            </w:r>
            <w:r w:rsidR="002A3008">
              <w:rPr>
                <w:rFonts w:ascii="Calibri" w:eastAsia="Symbol" w:hAnsi="Calibri" w:cs="Times New Roman"/>
                <w:b/>
                <w:color w:val="2F5496" w:themeColor="accent5" w:themeShade="BF"/>
                <w:sz w:val="28"/>
                <w:szCs w:val="28"/>
              </w:rPr>
              <w:t xml:space="preserve"> hours per week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A57AD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2A3008">
              <w:rPr>
                <w:rFonts w:ascii="Calibri" w:eastAsia="Symbol" w:hAnsi="Calibri" w:cs="Times New Roman"/>
                <w:b/>
                <w:color w:val="2F5496" w:themeColor="accent5" w:themeShade="BF"/>
                <w:sz w:val="28"/>
                <w:szCs w:val="28"/>
              </w:rPr>
              <w:t xml:space="preserve">Head Teacher </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F637CC" w:rsidP="00F637CC">
      <w:pPr>
        <w:ind w:left="-851"/>
      </w:pPr>
      <w:r w:rsidRPr="00F637CC">
        <w:t>To supervise pupils during the lunch time period in a designated area having due regard at all times to their health, safety and welfare.  To mark dinner registers and issue free meal tokens</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F637CC" w:rsidRDefault="00F637CC" w:rsidP="00F637CC">
      <w:pPr>
        <w:pStyle w:val="ListParagraph"/>
        <w:numPr>
          <w:ilvl w:val="0"/>
          <w:numId w:val="3"/>
        </w:numPr>
      </w:pPr>
      <w:r>
        <w:t>To control queues to the dining areas</w:t>
      </w:r>
    </w:p>
    <w:p w:rsidR="00F637CC" w:rsidRDefault="00F637CC" w:rsidP="00F637CC">
      <w:pPr>
        <w:pStyle w:val="ListParagraph"/>
        <w:numPr>
          <w:ilvl w:val="0"/>
          <w:numId w:val="3"/>
        </w:numPr>
      </w:pPr>
      <w:r>
        <w:t>To mark registers and operate the system designed to provide free meals to pupils</w:t>
      </w:r>
    </w:p>
    <w:p w:rsidR="00F637CC" w:rsidRDefault="00F637CC" w:rsidP="00F637CC">
      <w:pPr>
        <w:pStyle w:val="ListParagraph"/>
        <w:numPr>
          <w:ilvl w:val="0"/>
          <w:numId w:val="3"/>
        </w:numPr>
      </w:pPr>
      <w:r>
        <w:t>To encourage dining arrangements that promotes an orderly and pleasant meals service for pupils.</w:t>
      </w:r>
    </w:p>
    <w:p w:rsidR="00F637CC" w:rsidRDefault="00F637CC" w:rsidP="00F637CC">
      <w:pPr>
        <w:pStyle w:val="ListParagraph"/>
        <w:numPr>
          <w:ilvl w:val="0"/>
          <w:numId w:val="3"/>
        </w:numPr>
      </w:pPr>
      <w:r>
        <w:t>To assist as required relieving any bottleneck at the till.</w:t>
      </w:r>
    </w:p>
    <w:p w:rsidR="00F637CC" w:rsidRDefault="00F637CC" w:rsidP="00F637CC">
      <w:pPr>
        <w:pStyle w:val="ListParagraph"/>
        <w:numPr>
          <w:ilvl w:val="0"/>
          <w:numId w:val="3"/>
        </w:numPr>
      </w:pPr>
      <w:r>
        <w:t>To ensure that any spillage is removed quickly</w:t>
      </w:r>
    </w:p>
    <w:p w:rsidR="00F637CC" w:rsidRDefault="00F637CC" w:rsidP="00F637CC">
      <w:pPr>
        <w:pStyle w:val="ListParagraph"/>
        <w:numPr>
          <w:ilvl w:val="0"/>
          <w:numId w:val="3"/>
        </w:numPr>
      </w:pPr>
      <w:r>
        <w:t>To see that the dining areas are left clean and tidy and tables are clean for the next occupant</w:t>
      </w:r>
    </w:p>
    <w:p w:rsidR="00F637CC" w:rsidRDefault="00F637CC" w:rsidP="00F637CC">
      <w:pPr>
        <w:pStyle w:val="ListParagraph"/>
        <w:numPr>
          <w:ilvl w:val="0"/>
          <w:numId w:val="3"/>
        </w:numPr>
      </w:pPr>
      <w:r>
        <w:t>To supervise the return of used crockery and cutlery</w:t>
      </w:r>
    </w:p>
    <w:p w:rsidR="00F637CC" w:rsidRDefault="00F637CC" w:rsidP="00F637CC">
      <w:pPr>
        <w:pStyle w:val="ListParagraph"/>
        <w:numPr>
          <w:ilvl w:val="0"/>
          <w:numId w:val="3"/>
        </w:numPr>
      </w:pPr>
      <w:r>
        <w:t>To wipe trays where necessary.</w:t>
      </w:r>
    </w:p>
    <w:p w:rsidR="00F637CC" w:rsidRDefault="00F637CC" w:rsidP="00F637CC">
      <w:pPr>
        <w:pStyle w:val="ListParagraph"/>
        <w:numPr>
          <w:ilvl w:val="0"/>
          <w:numId w:val="3"/>
        </w:numPr>
      </w:pPr>
      <w:r>
        <w:t>To deal with pupils’ behaviour problems in the dining room and elsewhere and report any serious incidents to the Senior Midday Supervisor.</w:t>
      </w:r>
    </w:p>
    <w:p w:rsidR="003D153F" w:rsidRDefault="00F637CC" w:rsidP="00F637CC">
      <w:pPr>
        <w:pStyle w:val="ListParagraph"/>
        <w:numPr>
          <w:ilvl w:val="0"/>
          <w:numId w:val="3"/>
        </w:numPr>
      </w:pPr>
      <w:r>
        <w:t>To deal with accidents and any sickness and report them to the Senior Midday Supervisor.</w:t>
      </w:r>
    </w:p>
    <w:p w:rsidR="003D153F" w:rsidRDefault="003D153F" w:rsidP="003D153F">
      <w:pPr>
        <w:ind w:left="-851"/>
      </w:pPr>
    </w:p>
    <w:p w:rsidR="003D153F" w:rsidRDefault="003D153F" w:rsidP="003D153F">
      <w:pPr>
        <w:ind w:left="-851"/>
      </w:pPr>
    </w:p>
    <w:p w:rsidR="003D153F" w:rsidRDefault="00A5409C" w:rsidP="003D153F">
      <w:pPr>
        <w:ind w:left="-851"/>
      </w:pPr>
      <w:r w:rsidRPr="00A5409C">
        <w:rPr>
          <w:b/>
          <w:color w:val="2F5496" w:themeColor="accent5" w:themeShade="BF"/>
          <w:sz w:val="28"/>
          <w:szCs w:val="28"/>
        </w:rPr>
        <w:lastRenderedPageBreak/>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737"/>
        <w:gridCol w:w="453"/>
        <w:gridCol w:w="511"/>
        <w:gridCol w:w="395"/>
      </w:tblGrid>
      <w:tr w:rsidR="00C2135F" w:rsidRPr="00C2135F" w:rsidTr="001452AE">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521"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452A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73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511"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39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F637CC" w:rsidRPr="00C2135F" w:rsidTr="001452AE">
        <w:trPr>
          <w:trHeight w:val="2432"/>
        </w:trPr>
        <w:tc>
          <w:tcPr>
            <w:tcW w:w="2978" w:type="dxa"/>
            <w:tcMar>
              <w:top w:w="57" w:type="dxa"/>
              <w:bottom w:w="57" w:type="dxa"/>
            </w:tcMar>
          </w:tcPr>
          <w:p w:rsidR="00F637CC" w:rsidRPr="00433E24" w:rsidRDefault="00236D49" w:rsidP="00F637CC">
            <w:r>
              <w:t xml:space="preserve">Experience, </w:t>
            </w:r>
            <w:r w:rsidR="00F637CC">
              <w:t>Knowledge and skills</w:t>
            </w:r>
          </w:p>
        </w:tc>
        <w:tc>
          <w:tcPr>
            <w:tcW w:w="5953" w:type="dxa"/>
            <w:tcMar>
              <w:top w:w="57" w:type="dxa"/>
              <w:bottom w:w="57" w:type="dxa"/>
            </w:tcMar>
          </w:tcPr>
          <w:p w:rsidR="00F637CC" w:rsidRDefault="00F637CC" w:rsidP="00F642F4">
            <w:pPr>
              <w:pStyle w:val="ListParagraph"/>
              <w:numPr>
                <w:ilvl w:val="0"/>
                <w:numId w:val="9"/>
              </w:numPr>
            </w:pPr>
            <w:r>
              <w:t>Basic literacy and numeracy skills</w:t>
            </w:r>
          </w:p>
          <w:p w:rsidR="00236D49" w:rsidRDefault="00F637CC" w:rsidP="00F642F4">
            <w:pPr>
              <w:pStyle w:val="ListParagraph"/>
              <w:numPr>
                <w:ilvl w:val="0"/>
                <w:numId w:val="9"/>
              </w:numPr>
            </w:pPr>
            <w:r>
              <w:t>Awareness of health &amp; safety issues</w:t>
            </w:r>
          </w:p>
          <w:p w:rsidR="00F637CC" w:rsidRDefault="00236D49" w:rsidP="00F642F4">
            <w:pPr>
              <w:pStyle w:val="ListParagraph"/>
              <w:numPr>
                <w:ilvl w:val="0"/>
                <w:numId w:val="9"/>
              </w:numPr>
            </w:pPr>
            <w:r>
              <w:t>Managing behaviour of children</w:t>
            </w:r>
          </w:p>
          <w:p w:rsidR="00236D49" w:rsidRDefault="00236D49" w:rsidP="00F642F4">
            <w:pPr>
              <w:pStyle w:val="ListParagraph"/>
              <w:numPr>
                <w:ilvl w:val="0"/>
                <w:numId w:val="9"/>
              </w:numPr>
            </w:pPr>
            <w:r>
              <w:t>Experience of supervising children as a parent or carer</w:t>
            </w:r>
          </w:p>
          <w:p w:rsidR="00236D49" w:rsidRDefault="00236D49" w:rsidP="00F642F4">
            <w:pPr>
              <w:pStyle w:val="ListParagraph"/>
              <w:numPr>
                <w:ilvl w:val="0"/>
                <w:numId w:val="9"/>
              </w:numPr>
            </w:pPr>
            <w:r w:rsidRPr="00236D49">
              <w:t>Ability to work as part of a team and on own initiative</w:t>
            </w:r>
          </w:p>
          <w:p w:rsidR="00236D49" w:rsidRPr="00433E24" w:rsidRDefault="00236D49" w:rsidP="001452AE">
            <w:pPr>
              <w:pStyle w:val="ListParagraph"/>
              <w:numPr>
                <w:ilvl w:val="0"/>
                <w:numId w:val="9"/>
              </w:numPr>
            </w:pPr>
            <w:r w:rsidRPr="00236D49">
              <w:t xml:space="preserve">Ability to communicate with all </w:t>
            </w:r>
            <w:r w:rsidR="001452AE">
              <w:t>departments in school, especially</w:t>
            </w:r>
            <w:r w:rsidRPr="00236D49">
              <w:t xml:space="preserve"> the pupils</w:t>
            </w:r>
          </w:p>
        </w:tc>
        <w:tc>
          <w:tcPr>
            <w:tcW w:w="425" w:type="dxa"/>
            <w:shd w:val="clear" w:color="auto" w:fill="E6E6E6"/>
            <w:tcMar>
              <w:top w:w="57" w:type="dxa"/>
              <w:bottom w:w="57" w:type="dxa"/>
            </w:tcMar>
          </w:tcPr>
          <w:p w:rsidR="00F637CC" w:rsidRPr="00F642F4" w:rsidRDefault="00F637CC" w:rsidP="00F637CC">
            <w:pPr>
              <w:tabs>
                <w:tab w:val="left" w:pos="1440"/>
                <w:tab w:val="left" w:pos="6480"/>
              </w:tabs>
              <w:spacing w:after="0" w:line="240" w:lineRule="auto"/>
              <w:ind w:left="1440" w:hanging="1440"/>
              <w:jc w:val="center"/>
              <w:rPr>
                <w:rFonts w:eastAsia="Times New Roman" w:cstheme="minorHAnsi"/>
                <w:b/>
                <w:sz w:val="28"/>
                <w:szCs w:val="24"/>
                <w:lang w:eastAsia="en-GB"/>
              </w:rPr>
            </w:pPr>
          </w:p>
        </w:tc>
        <w:tc>
          <w:tcPr>
            <w:tcW w:w="737"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sz w:val="28"/>
                <w:szCs w:val="24"/>
                <w:lang w:eastAsia="en-GB"/>
              </w:rPr>
            </w:pPr>
            <w:r w:rsidRPr="001452AE">
              <w:rPr>
                <w:rFonts w:ascii="Arial" w:eastAsia="Times New Roman" w:hAnsi="Arial" w:cs="Times New Roman"/>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rPr>
                <w:rFonts w:eastAsia="Times New Roman" w:cstheme="minorHAnsi"/>
                <w:lang w:eastAsia="en-GB"/>
              </w:rPr>
            </w:pPr>
          </w:p>
          <w:p w:rsidR="00F642F4" w:rsidRPr="00F642F4" w:rsidRDefault="00F642F4" w:rsidP="00F642F4">
            <w:pPr>
              <w:spacing w:after="0" w:line="240" w:lineRule="auto"/>
              <w:rPr>
                <w:rFonts w:eastAsia="Times New Roman" w:cstheme="minorHAnsi"/>
                <w:lang w:eastAsia="en-GB"/>
              </w:rPr>
            </w:pPr>
          </w:p>
        </w:tc>
        <w:tc>
          <w:tcPr>
            <w:tcW w:w="453" w:type="dxa"/>
            <w:shd w:val="clear" w:color="auto" w:fill="E6E6E6"/>
            <w:tcMar>
              <w:top w:w="57" w:type="dxa"/>
              <w:bottom w:w="57" w:type="dxa"/>
            </w:tcMar>
          </w:tcPr>
          <w:p w:rsidR="00F637CC" w:rsidRPr="00F642F4" w:rsidRDefault="00F637CC" w:rsidP="00F637CC">
            <w:pPr>
              <w:spacing w:after="0" w:line="240" w:lineRule="auto"/>
              <w:jc w:val="center"/>
              <w:rPr>
                <w:rFonts w:eastAsia="Times New Roman" w:cstheme="minorHAnsi"/>
                <w:lang w:eastAsia="en-GB"/>
              </w:rPr>
            </w:pPr>
          </w:p>
        </w:tc>
        <w:tc>
          <w:tcPr>
            <w:tcW w:w="511" w:type="dxa"/>
            <w:shd w:val="clear" w:color="auto" w:fill="E6E6E6"/>
            <w:tcMar>
              <w:top w:w="57" w:type="dxa"/>
              <w:bottom w:w="57" w:type="dxa"/>
            </w:tcMar>
          </w:tcPr>
          <w:p w:rsidR="00F642F4" w:rsidRDefault="00F642F4"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42F4" w:rsidRPr="00F642F4" w:rsidRDefault="00F642F4" w:rsidP="00F642F4">
            <w:pPr>
              <w:spacing w:after="0" w:line="240" w:lineRule="auto"/>
              <w:rPr>
                <w:rFonts w:eastAsia="Times New Roman" w:cstheme="minorHAnsi"/>
                <w:b/>
                <w:lang w:eastAsia="en-GB"/>
              </w:rPr>
            </w:pPr>
          </w:p>
        </w:tc>
        <w:tc>
          <w:tcPr>
            <w:tcW w:w="395"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F642F4" w:rsidRDefault="00F637CC" w:rsidP="00F637CC">
            <w:pPr>
              <w:spacing w:after="0" w:line="240" w:lineRule="auto"/>
              <w:jc w:val="center"/>
              <w:rPr>
                <w:rFonts w:eastAsia="Times New Roman" w:cstheme="minorHAnsi"/>
                <w:lang w:eastAsia="en-GB"/>
              </w:rPr>
            </w:pPr>
          </w:p>
        </w:tc>
      </w:tr>
      <w:tr w:rsidR="00F637CC" w:rsidRPr="00C2135F" w:rsidTr="001452AE">
        <w:tc>
          <w:tcPr>
            <w:tcW w:w="2978" w:type="dxa"/>
            <w:tcMar>
              <w:top w:w="57" w:type="dxa"/>
              <w:bottom w:w="57" w:type="dxa"/>
            </w:tcMar>
          </w:tcPr>
          <w:p w:rsidR="00F637CC" w:rsidRPr="00433E24" w:rsidRDefault="00F637CC" w:rsidP="00F637CC">
            <w:r w:rsidRPr="00433E24">
              <w:t>Work to promote mutual respect and good relations</w:t>
            </w:r>
          </w:p>
        </w:tc>
        <w:tc>
          <w:tcPr>
            <w:tcW w:w="5953" w:type="dxa"/>
            <w:tcMar>
              <w:top w:w="57" w:type="dxa"/>
              <w:bottom w:w="57" w:type="dxa"/>
            </w:tcMar>
          </w:tcPr>
          <w:p w:rsidR="001452AE" w:rsidRDefault="00F642F4" w:rsidP="00F642F4">
            <w:pPr>
              <w:pStyle w:val="ListParagraph"/>
              <w:numPr>
                <w:ilvl w:val="0"/>
                <w:numId w:val="9"/>
              </w:numPr>
            </w:pPr>
            <w:r w:rsidRPr="00F642F4">
              <w:t xml:space="preserve">Ability to work in accordance with the school’s </w:t>
            </w:r>
            <w:r w:rsidR="001452AE">
              <w:t xml:space="preserve">policies including </w:t>
            </w:r>
            <w:r w:rsidRPr="00F642F4">
              <w:t>health and safety</w:t>
            </w:r>
            <w:r w:rsidR="001452AE">
              <w:t xml:space="preserve"> and safeguarding</w:t>
            </w:r>
          </w:p>
          <w:p w:rsidR="00F642F4" w:rsidRPr="00433E24" w:rsidRDefault="00F642F4" w:rsidP="00F642F4">
            <w:pPr>
              <w:pStyle w:val="ListParagraph"/>
              <w:numPr>
                <w:ilvl w:val="0"/>
                <w:numId w:val="9"/>
              </w:numPr>
            </w:pPr>
            <w:r w:rsidRPr="00F642F4">
              <w:t xml:space="preserve"> policies</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r>
      <w:tr w:rsidR="00F637CC" w:rsidRPr="00C2135F" w:rsidTr="001452AE">
        <w:trPr>
          <w:trHeight w:val="1811"/>
        </w:trPr>
        <w:tc>
          <w:tcPr>
            <w:tcW w:w="2978" w:type="dxa"/>
            <w:tcMar>
              <w:top w:w="57" w:type="dxa"/>
              <w:bottom w:w="57" w:type="dxa"/>
            </w:tcMar>
          </w:tcPr>
          <w:p w:rsidR="00F637CC" w:rsidRPr="00433E24" w:rsidRDefault="00F637CC" w:rsidP="00F637CC">
            <w:r w:rsidRPr="00433E24">
              <w:t>Work Related Circumstances</w:t>
            </w:r>
          </w:p>
        </w:tc>
        <w:tc>
          <w:tcPr>
            <w:tcW w:w="5953" w:type="dxa"/>
            <w:tcMar>
              <w:top w:w="57" w:type="dxa"/>
              <w:bottom w:w="57" w:type="dxa"/>
            </w:tcMar>
          </w:tcPr>
          <w:p w:rsidR="00F637CC" w:rsidRDefault="00F637CC" w:rsidP="00F642F4">
            <w:pPr>
              <w:pStyle w:val="ListParagraph"/>
              <w:numPr>
                <w:ilvl w:val="0"/>
                <w:numId w:val="9"/>
              </w:numPr>
            </w:pPr>
            <w:r>
              <w:t>Must be willing to undertake training as required</w:t>
            </w:r>
          </w:p>
          <w:p w:rsidR="00F637CC" w:rsidRDefault="00F637CC" w:rsidP="00F642F4">
            <w:pPr>
              <w:pStyle w:val="ListParagraph"/>
              <w:numPr>
                <w:ilvl w:val="0"/>
                <w:numId w:val="9"/>
              </w:numPr>
            </w:pPr>
            <w:r>
              <w:t>Must ensure confidentiality in respect of pupils and information.</w:t>
            </w:r>
          </w:p>
          <w:p w:rsidR="00F637CC" w:rsidRPr="00433E24" w:rsidRDefault="00F637CC" w:rsidP="00F642F4">
            <w:pPr>
              <w:pStyle w:val="ListParagraph"/>
              <w:numPr>
                <w:ilvl w:val="0"/>
                <w:numId w:val="9"/>
              </w:numPr>
            </w:pPr>
            <w:r>
              <w:t>Must be willing to undergo and pass a DBS check</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Default="00F637CC"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Default="00F637CC"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2A3008"/>
    <w:rsid w:val="00345B2A"/>
    <w:rsid w:val="003D153F"/>
    <w:rsid w:val="003D5A94"/>
    <w:rsid w:val="005D32E3"/>
    <w:rsid w:val="0060753E"/>
    <w:rsid w:val="00616396"/>
    <w:rsid w:val="00934E74"/>
    <w:rsid w:val="0098030F"/>
    <w:rsid w:val="00980914"/>
    <w:rsid w:val="00A5409C"/>
    <w:rsid w:val="00A57AD2"/>
    <w:rsid w:val="00C2135F"/>
    <w:rsid w:val="00D36BD6"/>
    <w:rsid w:val="00D906A6"/>
    <w:rsid w:val="00DA441C"/>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4EFE"/>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2019-09-10T14:18:00Z</dcterms:created>
  <dcterms:modified xsi:type="dcterms:W3CDTF">2020-03-17T16:16:00Z</dcterms:modified>
</cp:coreProperties>
</file>